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82CD4">
      <w:pPr>
        <w:jc w:val="center"/>
        <w:rPr>
          <w:rFonts w:eastAsia="华文中宋"/>
          <w:sz w:val="32"/>
          <w:szCs w:val="32"/>
        </w:rPr>
      </w:pPr>
      <w:r>
        <w:rPr>
          <w:rFonts w:eastAsia="华文中宋"/>
          <w:sz w:val="32"/>
          <w:szCs w:val="32"/>
        </w:rPr>
        <w:t>计算机科学与学院实验报告（电子版）</w:t>
      </w:r>
    </w:p>
    <w:p w14:paraId="2E1D3A5A">
      <w:pPr>
        <w:ind w:right="320" w:firstLine="240"/>
        <w:rPr>
          <w:rFonts w:eastAsia="华文中宋"/>
          <w:sz w:val="24"/>
          <w:u w:val="single"/>
        </w:rPr>
      </w:pPr>
      <w:r>
        <w:rPr>
          <w:rFonts w:eastAsia="华文中宋"/>
          <w:sz w:val="24"/>
        </w:rPr>
        <w:t xml:space="preserve">课程： </w:t>
      </w:r>
      <w:r>
        <w:rPr>
          <w:rFonts w:eastAsia="华文中宋"/>
          <w:sz w:val="24"/>
          <w:u w:val="single"/>
        </w:rPr>
        <w:t xml:space="preserve"> 操作系统实践    </w:t>
      </w:r>
    </w:p>
    <w:tbl>
      <w:tblPr>
        <w:tblStyle w:val="7"/>
        <w:tblW w:w="104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1462"/>
        <w:gridCol w:w="1800"/>
        <w:gridCol w:w="2224"/>
        <w:gridCol w:w="1318"/>
        <w:gridCol w:w="1591"/>
      </w:tblGrid>
      <w:tr w14:paraId="24493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19A49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实验名称</w:t>
            </w:r>
          </w:p>
        </w:tc>
        <w:tc>
          <w:tcPr>
            <w:tcW w:w="5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108C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实验三. Web服务器的线程池和业务分割模型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FDE0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指导教师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531D14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65D9F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0F72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 名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719D8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799EB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    号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6CB76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2EA60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班    级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22C25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6B859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FC9D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实验地点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9845E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498D8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实验日期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8523A2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FCB50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同组同学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0A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56286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8E1F3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教师评语</w:t>
            </w:r>
          </w:p>
        </w:tc>
        <w:tc>
          <w:tcPr>
            <w:tcW w:w="54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395472">
            <w:pPr>
              <w:spacing w:line="440" w:lineRule="exact"/>
              <w:jc w:val="center"/>
              <w:rPr>
                <w:sz w:val="24"/>
              </w:rPr>
            </w:pPr>
          </w:p>
          <w:p w14:paraId="77F0DCEF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7C9AE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实验成绩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21B2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评阅教师</w:t>
            </w:r>
          </w:p>
        </w:tc>
      </w:tr>
      <w:tr w14:paraId="7198F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C4F8F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54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D78EB6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8C713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B6D9B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14:paraId="63710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104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2FE42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 xml:space="preserve">一、实验目的： </w:t>
            </w:r>
          </w:p>
          <w:p w14:paraId="2363AE2D">
            <w:pPr>
              <w:ind w:firstLine="420"/>
            </w:pPr>
            <w:r>
              <w:t>将webserver改造为多进程、多线程、预线程版本，并进行性能测试，掌握并行网络服务器的设计、性能测试和优化方法。</w:t>
            </w:r>
          </w:p>
        </w:tc>
      </w:tr>
      <w:tr w14:paraId="0D179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104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A5ACE">
            <w:pPr>
              <w:spacing w:line="480" w:lineRule="auto"/>
              <w:rPr>
                <w:sz w:val="24"/>
              </w:rPr>
            </w:pPr>
            <w:r>
              <w:rPr>
                <w:sz w:val="24"/>
              </w:rPr>
              <w:t>二、实验内容与要求：</w:t>
            </w:r>
          </w:p>
          <w:p w14:paraId="30E28985">
            <w:pPr>
              <w:rPr>
                <w:b/>
                <w:bCs/>
              </w:rPr>
            </w:pPr>
            <w:r>
              <w:rPr>
                <w:b/>
                <w:bCs/>
              </w:rPr>
              <w:t>准备工作：复制源代码到ubuntu并编译程序</w:t>
            </w:r>
          </w:p>
          <w:p w14:paraId="2256552D">
            <w:r>
              <w:t>（1）打开Terminal窗口，执行</w:t>
            </w:r>
            <w:r>
              <w:rPr>
                <w:b/>
                <w:bCs/>
                <w:color w:val="0070C0"/>
              </w:rPr>
              <w:t>$</w:t>
            </w:r>
            <w:r>
              <w:t xml:space="preserve"> </w:t>
            </w:r>
            <w:r>
              <w:rPr>
                <w:b/>
                <w:bCs/>
                <w:color w:val="FF0000"/>
                <w:sz w:val="22"/>
                <w:szCs w:val="24"/>
              </w:rPr>
              <w:t>mkdir</w:t>
            </w:r>
            <w:r>
              <w:t>命令在当前目录下创建</w:t>
            </w:r>
            <w:r>
              <w:rPr>
                <w:b/>
                <w:bCs/>
                <w:color w:val="00B0F0"/>
              </w:rPr>
              <w:t>web3</w:t>
            </w:r>
            <w:r>
              <w:t>子目录</w:t>
            </w:r>
          </w:p>
          <w:p w14:paraId="63586346">
            <w:r>
              <w:t>（2）采用拖放操作将“</w:t>
            </w:r>
            <w:r>
              <w:rPr>
                <w:b/>
                <w:bCs/>
                <w:color w:val="0070C0"/>
              </w:rPr>
              <w:t>实验二源代码</w:t>
            </w:r>
            <w:r>
              <w:t>”目录的所有文件复制到</w:t>
            </w:r>
            <w:r>
              <w:rPr>
                <w:b/>
                <w:bCs/>
              </w:rPr>
              <w:t>/home/oslab/web3</w:t>
            </w:r>
            <w:r>
              <w:t>下。</w:t>
            </w:r>
          </w:p>
          <w:p w14:paraId="241DD7F4">
            <w:r>
              <w:t>（3）在Terminal窗口执行</w:t>
            </w:r>
            <w:r>
              <w:rPr>
                <w:color w:val="0070C0"/>
              </w:rPr>
              <w:t>$</w:t>
            </w:r>
            <w:r>
              <w:t xml:space="preserve"> </w:t>
            </w:r>
            <w:r>
              <w:rPr>
                <w:b/>
                <w:bCs/>
                <w:color w:val="FF0000"/>
                <w:sz w:val="22"/>
                <w:szCs w:val="24"/>
              </w:rPr>
              <w:t>cd web3</w:t>
            </w:r>
            <w:r>
              <w:t>命令进入web1子目录，键入</w:t>
            </w:r>
            <w:r>
              <w:rPr>
                <w:b/>
                <w:bCs/>
                <w:color w:val="0070C0"/>
              </w:rPr>
              <w:t>$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  <w:sz w:val="22"/>
                <w:szCs w:val="24"/>
              </w:rPr>
              <w:t>make M="-DDEBUG" rebuild</w:t>
            </w:r>
            <w:r>
              <w:t xml:space="preserve">命令，将源程序togglec.c和togglest_pool.c、webserver.c、webclient.c编译为可执行程序togglec、togglest_pool.c、webserver和webclient </w:t>
            </w:r>
          </w:p>
          <w:p w14:paraId="5A9A58ED">
            <w:pPr>
              <w:snapToGrid w:val="0"/>
            </w:pPr>
            <w:r>
              <w:t xml:space="preserve">   启动webserver:  </w:t>
            </w:r>
            <w:r>
              <w:rPr>
                <w:b/>
                <w:bCs/>
                <w:color w:val="00B0F0"/>
              </w:rPr>
              <w:t>$</w:t>
            </w:r>
            <w:r>
              <w:t xml:space="preserve"> </w:t>
            </w:r>
            <w:r>
              <w:rPr>
                <w:b/>
                <w:bCs/>
                <w:color w:val="FF0000"/>
              </w:rPr>
              <w:t xml:space="preserve">./webserver 8088  </w:t>
            </w:r>
            <w:r>
              <w:rPr>
                <w:b/>
                <w:bCs/>
                <w:color w:val="FF0000"/>
                <w:sz w:val="28"/>
                <w:szCs w:val="32"/>
              </w:rPr>
              <w:t>.</w:t>
            </w:r>
          </w:p>
          <w:p w14:paraId="330F9066">
            <w:pPr>
              <w:rPr>
                <w:b/>
                <w:bCs/>
                <w:color w:val="FF0000"/>
              </w:rPr>
            </w:pPr>
            <w:r>
              <w:t xml:space="preserve">   运行webclient:  </w:t>
            </w:r>
            <w:r>
              <w:rPr>
                <w:b/>
                <w:bCs/>
                <w:color w:val="00B0F0"/>
              </w:rPr>
              <w:t xml:space="preserve">$ </w:t>
            </w:r>
            <w:r>
              <w:rPr>
                <w:b/>
                <w:bCs/>
                <w:color w:val="FF0000"/>
              </w:rPr>
              <w:t>./webclient 127.0.0.1 8088</w:t>
            </w:r>
          </w:p>
          <w:p w14:paraId="5CF72EB2"/>
          <w:p w14:paraId="6C486215">
            <w:pPr>
              <w:rPr>
                <w:b/>
                <w:bCs/>
              </w:rPr>
            </w:pPr>
            <w:r>
              <w:rPr>
                <w:b/>
                <w:bCs/>
              </w:rPr>
              <w:t>任务2：阅读和理解toogles线程池实现togglest_pool.c，并编译运行验证。仿照设计并实现</w:t>
            </w:r>
            <w:r>
              <w:rPr>
                <w:b/>
                <w:bCs/>
                <w:color w:val="FF0000"/>
              </w:rPr>
              <w:t>webserver</w:t>
            </w:r>
            <w:r>
              <w:rPr>
                <w:b/>
                <w:bCs/>
              </w:rPr>
              <w:t>线程池版本，以支持多进程并发处理众多客户端请求，并进行测试验证，并使用http_load测试webserver多进程版本的性能，并与多进程版本进行对比，建议在其他物理节点运行http_load命令。</w:t>
            </w:r>
            <w:r>
              <w:rPr>
                <w:b/>
                <w:bCs/>
                <w:color w:val="FF0000"/>
              </w:rPr>
              <w:t>http_load  -parallel  5  -fetches  50  -seconds  20 urls</w:t>
            </w:r>
          </w:p>
          <w:p w14:paraId="1BFBBB3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65AE74C0">
            <w:pPr>
              <w:rPr>
                <w:b/>
                <w:bCs/>
              </w:rPr>
            </w:pPr>
            <w:r>
              <w:rPr>
                <w:b/>
                <w:bCs/>
              </w:rPr>
              <w:t>任务3：设计实现webserver的业务分割模型。参考方案：web服务器进程创建三个线程池：read msg threadpool、read file threadpool、send msg threadpool，创建2个消息队列：filename queue和msg queue。read msg threadpool中的线程从客户端socket通道中读取读取消息并进行解析，然后将请求的文件名和socket通道加入filename queue；read file threadpool中的线程从filename queue中提取文件名，读取文件内容，并将文件内核和socket通道发送到msg queue；send msg threadpool在的线程从msg queue中提取文件内容和socket通道，并将文件内容通过socket通道发送给客户端。参考《操作系统实验教程---web服务器性能优化》2.8节。</w:t>
            </w:r>
          </w:p>
          <w:p w14:paraId="7852ED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对webserver业务分割模型中编写监测代码，定时输出相关性能参数，分析服务器的运行状态，例如：线程池中线程的平均活跃时间及阻塞时间，线程最高活跃数量、最低活跃数量、平均活跃数量、消息队列中的消息长度等。</w:t>
            </w:r>
          </w:p>
          <w:p w14:paraId="155C7AB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用相关工具命令监测系统I/O、内存、CPU等设备性能。</w:t>
            </w:r>
          </w:p>
          <w:p w14:paraId="1D767435">
            <w:pPr>
              <w:rPr>
                <w:b/>
                <w:bCs/>
              </w:rPr>
            </w:pPr>
          </w:p>
        </w:tc>
      </w:tr>
      <w:tr w14:paraId="0CCDD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center"/>
        </w:trPr>
        <w:tc>
          <w:tcPr>
            <w:tcW w:w="104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F53D43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sz w:val="21"/>
              </w:rPr>
            </w:pPr>
            <w:r>
              <w:rPr>
                <w:sz w:val="21"/>
              </w:rPr>
              <w:t>报告内容（分任务给出运行命令、运行结果截图、实验结果分析、改进优化建议；对与编程任务要先给出设计思路，画出系统总体结构图，给出关键函数功能、参数和实现思想描述）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任务2：webserver线程池版本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设计思路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在webserver单线程版本基础上，引入线程池（thpool）将web()处理函数作为任务提交到线程池工作队列，实现预线程（pre-threading）并发模型。主线程负责监听端口和accept连接，线程池中的4个工作线程并发从队列取任务执行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系统结构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```mermaid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flowchart TD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MAIN["main() 主线程&lt;br/&gt;socket → bind → listen → accept 循环"] --&gt;|"thpool_add_work()"| POOL["线程池 (4线程)&lt;br/&gt;工作队列: [job] ← [job] ← [job]"]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POOL --&gt;|"web()"| TASK["① 读HTTP请求 ② 解析+MIME&lt;br/&gt;③ 读文件 ④ 发送响应 ⑤ 关闭socket"]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```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关键函数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函数 | 功能 | 参数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|------|------|------|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thpool_init(4) | 初始化含4个工作线程的线程池 | num_threads: 线程数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thpool_add_work() | 将web函数和参数封装为job推入工作队列 | pool, func, arg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web(void *arg) | 处理完整HTTP请求（读→解析→读文件→发送→关闭） | arg: param{socket_fd, hit}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main() | 初始化socket→创建线程池→accept循环→提交任务→thpool_wait→销毁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http_load 性能测试数据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测试命令: http_load -parallel 5 -fetches 50 -seconds 20 urls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</w:p>
          <w:tbl>
            <w:tblPr>
              <w:tblStyle w:val="8"/>
              <w:tblW w:w="679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1699"/>
              <w:gridCol w:w="1699"/>
              <w:gridCol w:w="1699"/>
              <w:gridCol w:w="1699"/>
            </w:tblGrid>
            <w:tr w14:paraId="2E3C95E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47F95829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指标             </w:t>
                  </w:r>
                </w:p>
              </w:tc>
              <w:tc>
                <w:tcPr>
                  <w:tcW w:w="1699" w:type="dxa"/>
                </w:tcPr>
                <w:p w14:paraId="2B94100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线程池版本 </w:t>
                  </w:r>
                </w:p>
              </w:tc>
              <w:tc>
                <w:tcPr>
                  <w:tcW w:w="1699" w:type="dxa"/>
                </w:tcPr>
                <w:p w14:paraId="6594874E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单进程版本 </w:t>
                  </w:r>
                </w:p>
              </w:tc>
              <w:tc>
                <w:tcPr>
                  <w:tcW w:w="1699" w:type="dxa"/>
                </w:tcPr>
                <w:p w14:paraId="54582F5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提升             </w:t>
                  </w:r>
                </w:p>
              </w:tc>
            </w:tr>
            <w:tr w14:paraId="175AE04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699" w:type="dxa"/>
                </w:tcPr>
                <w:p w14:paraId="5E799CE1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fetches/sec      </w:t>
                  </w:r>
                </w:p>
              </w:tc>
              <w:tc>
                <w:tcPr>
                  <w:tcW w:w="1699" w:type="dxa"/>
                </w:tcPr>
                <w:p w14:paraId="0C57857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11786      </w:t>
                  </w:r>
                </w:p>
              </w:tc>
              <w:tc>
                <w:tcPr>
                  <w:tcW w:w="1699" w:type="dxa"/>
                </w:tcPr>
                <w:p w14:paraId="3E60F52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~2000      </w:t>
                  </w:r>
                </w:p>
              </w:tc>
              <w:tc>
                <w:tcPr>
                  <w:tcW w:w="1699" w:type="dxa"/>
                </w:tcPr>
                <w:p w14:paraId="4638D72F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约 5.9</w:t>
                  </w:r>
                  <w:r>
                    <w:rPr>
                      <w:rFonts w:hint="eastAsia"/>
                      <w:sz w:val="21"/>
                      <w:lang w:eastAsia="zh-CN"/>
                    </w:rPr>
                    <w:t>倍</w:t>
                  </w:r>
                  <w:r>
                    <w:rPr>
                      <w:sz w:val="21"/>
                    </w:rPr>
                    <w:t xml:space="preserve">     </w:t>
                  </w:r>
                </w:p>
              </w:tc>
            </w:tr>
            <w:tr w14:paraId="0F0931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5C437B8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bytes/sec        </w:t>
                  </w:r>
                </w:p>
              </w:tc>
              <w:tc>
                <w:tcPr>
                  <w:tcW w:w="1699" w:type="dxa"/>
                </w:tcPr>
                <w:p w14:paraId="7163F324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2.26M      </w:t>
                  </w:r>
                </w:p>
              </w:tc>
              <w:tc>
                <w:tcPr>
                  <w:tcW w:w="1699" w:type="dxa"/>
                </w:tcPr>
                <w:p w14:paraId="294A331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~0.4M      </w:t>
                  </w:r>
                </w:p>
              </w:tc>
              <w:tc>
                <w:tcPr>
                  <w:tcW w:w="1699" w:type="dxa"/>
                </w:tcPr>
                <w:p w14:paraId="4F55C24D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约 5.6</w:t>
                  </w:r>
                  <w:r>
                    <w:rPr>
                      <w:rFonts w:hint="eastAsia"/>
                      <w:sz w:val="21"/>
                      <w:lang w:eastAsia="zh-CN"/>
                    </w:rPr>
                    <w:t>倍</w:t>
                  </w:r>
                  <w:r>
                    <w:rPr>
                      <w:sz w:val="21"/>
                    </w:rPr>
                    <w:t xml:space="preserve">          </w:t>
                  </w:r>
                </w:p>
              </w:tc>
            </w:tr>
            <w:tr w14:paraId="02DDAD8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699" w:type="dxa"/>
                </w:tcPr>
                <w:p w14:paraId="76CE80C9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msecs/connect    </w:t>
                  </w:r>
                </w:p>
              </w:tc>
              <w:tc>
                <w:tcPr>
                  <w:tcW w:w="1699" w:type="dxa"/>
                </w:tcPr>
                <w:p w14:paraId="259E38AF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0.068      </w:t>
                  </w:r>
                </w:p>
              </w:tc>
              <w:tc>
                <w:tcPr>
                  <w:tcW w:w="1699" w:type="dxa"/>
                </w:tcPr>
                <w:p w14:paraId="5EA2651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~0.5       </w:t>
                  </w:r>
                </w:p>
              </w:tc>
              <w:tc>
                <w:tcPr>
                  <w:tcW w:w="1699" w:type="dxa"/>
                </w:tcPr>
                <w:p w14:paraId="139B767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降低 86%         </w:t>
                  </w:r>
                </w:p>
              </w:tc>
            </w:tr>
            <w:tr w14:paraId="0398F98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1699" w:type="dxa"/>
                </w:tcPr>
                <w:p w14:paraId="384AA69E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msecs/first-resp </w:t>
                  </w:r>
                </w:p>
              </w:tc>
              <w:tc>
                <w:tcPr>
                  <w:tcW w:w="1699" w:type="dxa"/>
                </w:tcPr>
                <w:p w14:paraId="7D1C0C0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0.324      </w:t>
                  </w:r>
                </w:p>
              </w:tc>
              <w:tc>
                <w:tcPr>
                  <w:tcW w:w="1699" w:type="dxa"/>
                </w:tcPr>
                <w:p w14:paraId="5B4D9C44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~2.5       </w:t>
                  </w:r>
                </w:p>
              </w:tc>
              <w:tc>
                <w:tcPr>
                  <w:tcW w:w="1699" w:type="dxa"/>
                </w:tcPr>
                <w:p w14:paraId="08D5F84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降低 87%         </w:t>
                  </w:r>
                </w:p>
              </w:tc>
            </w:tr>
            <w:tr w14:paraId="0DE8E9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6F756A7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并发能力         </w:t>
                  </w:r>
                </w:p>
              </w:tc>
              <w:tc>
                <w:tcPr>
                  <w:tcW w:w="1699" w:type="dxa"/>
                </w:tcPr>
                <w:p w14:paraId="0D0FFED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4并发      </w:t>
                  </w:r>
                </w:p>
              </w:tc>
              <w:tc>
                <w:tcPr>
                  <w:tcW w:w="1699" w:type="dxa"/>
                </w:tcPr>
                <w:p w14:paraId="794B6B9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1并发      </w:t>
                  </w:r>
                </w:p>
              </w:tc>
              <w:tc>
                <w:tcPr>
                  <w:tcW w:w="1699" w:type="dxa"/>
                </w:tcPr>
                <w:p w14:paraId="6B57F5B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4</w:t>
                  </w:r>
                  <w:r>
                    <w:rPr>
                      <w:rFonts w:hint="eastAsia"/>
                      <w:sz w:val="21"/>
                      <w:lang w:eastAsia="zh-CN"/>
                    </w:rPr>
                    <w:t>倍</w:t>
                  </w:r>
                  <w:r>
                    <w:rPr>
                      <w:sz w:val="21"/>
                    </w:rPr>
                    <w:t xml:space="preserve">      </w:t>
                  </w:r>
                </w:p>
              </w:tc>
            </w:tr>
          </w:tbl>
          <w:p w14:paraId="04CA3D78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sz w:val="21"/>
              </w:rPr>
            </w:pP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分析总结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线程池版本通过预创建4个工作线程避免了per-request线程创建开销，fetches/sec从约2000提升到11786（约5.9倍），连接延迟和首字节响应延迟均降低85%以上。线程池容量限制了最大并发数，在-parallel 5的压力下仍表现稳定。瓶颈在于线程数固定为4，当并发超过4时需排队等待。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任务3：webserver业务分割模型（Pipeline）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设计思路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将web()函数的串行处理流程拆分为三个独立流水阶段，各阶段使用独立线程池并通过有界消息队列异步连接。Read Msg负责网络I/O（读请求+解析），Read File负责磁盘I/O（打开文件+读取），Send Msg负责网络I/O（发送响应）。队列解耦各阶段速度差异，实现削峰填谷。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系统结构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```mermaid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flowchart LR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CLIENT[客户端] --&gt;|"TCP连接"| MAIN["main() accept"]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MAIN --&gt;|"提交任务"| S1["Read Msg 线程池(4)"]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S1 --&gt;|"filename_queue(64)"| S2["Read File 线程池(4)"]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S2 --&gt;|"msg_queue(64)"| S3["Send Msg 线程池(4)"]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S3 --&gt;|"HTTP响应"| CLIENT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MONITOR["监控线程(每5秒)"] -.-&gt;|采样| S1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MONITOR -.-&gt;|采样| S2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 xml:space="preserve">    MONITOR -.-&gt;|采样| S3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```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消息队列同步机制: 基于POSIX信号量的有界循环缓冲区 (mutex+avail+ready)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关键函数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函数 | 功能 | 所属阶段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|------|------|----------|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read_msg_worker(void *arg) | 从socket读HTTP→解析GET+文件名+检测MIME→fq_insert_try()推入FQ | Stage 1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read_file_thread_func(void *arg) | fq_remove_try()取任务→open+read文件→mq_insert_try()推入MQ | Stage 2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send_msg_thread_func(void *arg) | mq_remove_try()取任务→构造HTTP头→write发送→free+close | Stage 3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fq_insert_try / fq_remove_try | 可中断(1秒超时)的FQ入队/出队操作，Ctrl+C时安全退出 | 队列操作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mq_insert_try / mq_remove_try | 可中断(1秒超时)的MQ入队/出队操作，Ctrl+C时安全退出 | 队列操作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monitor_thread_func | 每5秒采样并输出各线程池活跃数、最大/最小/平均活跃阻塞时间、队列长度 | 监控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| ctrlc_handler | 信号处理: 设置server_running=0 + shutdown(listenfd)唤醒accept | 信号处理 |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性能监测数据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测试: curl 连续请求 index.html(275B) + test.html(101B) + example.jpg(189KB)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1699"/>
              <w:gridCol w:w="1699"/>
              <w:gridCol w:w="1699"/>
              <w:gridCol w:w="1699"/>
            </w:tblGrid>
            <w:tr w14:paraId="478F08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19B1CB8D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指标             </w:t>
                  </w:r>
                </w:p>
              </w:tc>
              <w:tc>
                <w:tcPr>
                  <w:tcW w:w="1699" w:type="dxa"/>
                </w:tcPr>
                <w:p w14:paraId="519AF888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Read Msg </w:t>
                  </w:r>
                </w:p>
              </w:tc>
              <w:tc>
                <w:tcPr>
                  <w:tcW w:w="1699" w:type="dxa"/>
                </w:tcPr>
                <w:p w14:paraId="6D5931E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Read File</w:t>
                  </w:r>
                </w:p>
              </w:tc>
              <w:tc>
                <w:tcPr>
                  <w:tcW w:w="1699" w:type="dxa"/>
                </w:tcPr>
                <w:p w14:paraId="1694EB0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Send Msg </w:t>
                  </w:r>
                </w:p>
              </w:tc>
            </w:tr>
            <w:tr w14:paraId="73DB15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699" w:type="dxa"/>
                </w:tcPr>
                <w:p w14:paraId="381D7C1E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当前活跃线程     </w:t>
                  </w:r>
                </w:p>
              </w:tc>
              <w:tc>
                <w:tcPr>
                  <w:tcW w:w="1699" w:type="dxa"/>
                </w:tcPr>
                <w:p w14:paraId="4C738649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</w:t>
                  </w:r>
                </w:p>
              </w:tc>
              <w:tc>
                <w:tcPr>
                  <w:tcW w:w="1699" w:type="dxa"/>
                </w:tcPr>
                <w:p w14:paraId="2D919266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</w:t>
                  </w:r>
                </w:p>
              </w:tc>
              <w:tc>
                <w:tcPr>
                  <w:tcW w:w="1699" w:type="dxa"/>
                </w:tcPr>
                <w:p w14:paraId="2D34C0E6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</w:t>
                  </w:r>
                </w:p>
              </w:tc>
            </w:tr>
            <w:tr w14:paraId="02DF3E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16EF09F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最高活跃线程     </w:t>
                  </w:r>
                </w:p>
              </w:tc>
              <w:tc>
                <w:tcPr>
                  <w:tcW w:w="1699" w:type="dxa"/>
                </w:tcPr>
                <w:p w14:paraId="074F7966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        </w:t>
                  </w:r>
                </w:p>
              </w:tc>
              <w:tc>
                <w:tcPr>
                  <w:tcW w:w="1699" w:type="dxa"/>
                </w:tcPr>
                <w:p w14:paraId="567C2D7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        </w:t>
                  </w:r>
                </w:p>
              </w:tc>
              <w:tc>
                <w:tcPr>
                  <w:tcW w:w="1699" w:type="dxa"/>
                </w:tcPr>
                <w:p w14:paraId="27107ED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        </w:t>
                  </w:r>
                </w:p>
              </w:tc>
            </w:tr>
            <w:tr w14:paraId="7759F4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699" w:type="dxa"/>
                </w:tcPr>
                <w:p w14:paraId="217AC87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最低活跃线程     </w:t>
                  </w:r>
                </w:p>
              </w:tc>
              <w:tc>
                <w:tcPr>
                  <w:tcW w:w="1699" w:type="dxa"/>
                </w:tcPr>
                <w:p w14:paraId="6C45E97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</w:t>
                  </w:r>
                </w:p>
              </w:tc>
              <w:tc>
                <w:tcPr>
                  <w:tcW w:w="1699" w:type="dxa"/>
                </w:tcPr>
                <w:p w14:paraId="60CC34E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</w:t>
                  </w:r>
                </w:p>
              </w:tc>
              <w:tc>
                <w:tcPr>
                  <w:tcW w:w="1699" w:type="dxa"/>
                </w:tcPr>
                <w:p w14:paraId="47F3B39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</w:t>
                  </w:r>
                </w:p>
              </w:tc>
            </w:tr>
            <w:tr w14:paraId="6D7D34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73A8F2FE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平均活跃时间(us) </w:t>
                  </w:r>
                </w:p>
              </w:tc>
              <w:tc>
                <w:tcPr>
                  <w:tcW w:w="1699" w:type="dxa"/>
                </w:tcPr>
                <w:p w14:paraId="7FCC8EED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17       </w:t>
                  </w:r>
                </w:p>
              </w:tc>
              <w:tc>
                <w:tcPr>
                  <w:tcW w:w="1699" w:type="dxa"/>
                </w:tcPr>
                <w:p w14:paraId="5140B04F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31       </w:t>
                  </w:r>
                </w:p>
              </w:tc>
              <w:tc>
                <w:tcPr>
                  <w:tcW w:w="1699" w:type="dxa"/>
                </w:tcPr>
                <w:p w14:paraId="24B1368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33       </w:t>
                  </w:r>
                </w:p>
              </w:tc>
            </w:tr>
            <w:tr w14:paraId="734CFA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699" w:type="dxa"/>
                </w:tcPr>
                <w:p w14:paraId="4168531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平均阻塞时间(us) </w:t>
                  </w:r>
                </w:p>
              </w:tc>
              <w:tc>
                <w:tcPr>
                  <w:tcW w:w="1699" w:type="dxa"/>
                </w:tcPr>
                <w:p w14:paraId="41C8437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        </w:t>
                  </w:r>
                </w:p>
              </w:tc>
              <w:tc>
                <w:tcPr>
                  <w:tcW w:w="1699" w:type="dxa"/>
                </w:tcPr>
                <w:p w14:paraId="5D2022F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2006476  </w:t>
                  </w:r>
                </w:p>
              </w:tc>
              <w:tc>
                <w:tcPr>
                  <w:tcW w:w="1699" w:type="dxa"/>
                </w:tcPr>
                <w:p w14:paraId="77CE470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2006479  </w:t>
                  </w:r>
                </w:p>
              </w:tc>
            </w:tr>
            <w:tr w14:paraId="050EDC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1699" w:type="dxa"/>
                </w:tcPr>
                <w:p w14:paraId="2AEE8CE5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处理任务数       </w:t>
                  </w:r>
                </w:p>
              </w:tc>
              <w:tc>
                <w:tcPr>
                  <w:tcW w:w="1699" w:type="dxa"/>
                </w:tcPr>
                <w:p w14:paraId="504AC2D6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3        </w:t>
                  </w:r>
                </w:p>
              </w:tc>
              <w:tc>
                <w:tcPr>
                  <w:tcW w:w="1699" w:type="dxa"/>
                </w:tcPr>
                <w:p w14:paraId="4A7DB3D3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3        </w:t>
                  </w:r>
                </w:p>
              </w:tc>
              <w:tc>
                <w:tcPr>
                  <w:tcW w:w="1699" w:type="dxa"/>
                </w:tcPr>
                <w:p w14:paraId="39A52358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3        </w:t>
                  </w:r>
                </w:p>
              </w:tc>
            </w:tr>
          </w:tbl>
          <w:p w14:paraId="578A5478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sz w:val="21"/>
              </w:rPr>
            </w:pPr>
            <w:r>
              <w:rPr>
                <w:sz w:val="21"/>
              </w:rPr>
              <w:br w:type="textWrapping"/>
            </w: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039"/>
              <w:gridCol w:w="2039"/>
              <w:gridCol w:w="2039"/>
            </w:tblGrid>
            <w:tr w14:paraId="3EFC696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039" w:type="dxa"/>
                </w:tcPr>
                <w:p w14:paraId="5409F1BF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队列             </w:t>
                  </w:r>
                </w:p>
              </w:tc>
              <w:tc>
                <w:tcPr>
                  <w:tcW w:w="2039" w:type="dxa"/>
                </w:tcPr>
                <w:p w14:paraId="79B2B5C2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当前/最大长度       </w:t>
                  </w:r>
                </w:p>
              </w:tc>
              <w:tc>
                <w:tcPr>
                  <w:tcW w:w="2039" w:type="dxa"/>
                </w:tcPr>
                <w:p w14:paraId="3F268C8E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容量 </w:t>
                  </w:r>
                </w:p>
              </w:tc>
            </w:tr>
            <w:tr w14:paraId="71B42F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039" w:type="dxa"/>
                </w:tcPr>
                <w:p w14:paraId="1BB8F17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Filename Queue   </w:t>
                  </w:r>
                </w:p>
              </w:tc>
              <w:tc>
                <w:tcPr>
                  <w:tcW w:w="2039" w:type="dxa"/>
                </w:tcPr>
                <w:p w14:paraId="6B82E85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           </w:t>
                  </w:r>
                </w:p>
              </w:tc>
              <w:tc>
                <w:tcPr>
                  <w:tcW w:w="2039" w:type="dxa"/>
                </w:tcPr>
                <w:p w14:paraId="1E02647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64   </w:t>
                  </w:r>
                </w:p>
              </w:tc>
            </w:tr>
            <w:tr w14:paraId="7F140AD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039" w:type="dxa"/>
                </w:tcPr>
                <w:p w14:paraId="65E627E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Msg Queue        </w:t>
                  </w:r>
                </w:p>
              </w:tc>
              <w:tc>
                <w:tcPr>
                  <w:tcW w:w="2039" w:type="dxa"/>
                </w:tcPr>
                <w:p w14:paraId="14FB9A85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0                   </w:t>
                  </w:r>
                </w:p>
              </w:tc>
              <w:tc>
                <w:tcPr>
                  <w:tcW w:w="2039" w:type="dxa"/>
                </w:tcPr>
                <w:p w14:paraId="7813E9D1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64   </w:t>
                  </w:r>
                </w:p>
              </w:tc>
            </w:tr>
          </w:tbl>
          <w:p w14:paraId="7AD6EE84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sz w:val="21"/>
              </w:rPr>
            </w:pPr>
            <w:r>
              <w:rPr>
                <w:sz w:val="21"/>
              </w:rPr>
              <w:br w:type="textWrapping"/>
            </w: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left w:w="108" w:type="dxa"/>
                <w:right w:w="108" w:type="dxa"/>
              </w:tblCellMar>
            </w:tblPr>
            <w:tblGrid>
              <w:gridCol w:w="2548"/>
              <w:gridCol w:w="2549"/>
            </w:tblGrid>
            <w:tr w14:paraId="455D6A3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548" w:type="dxa"/>
                </w:tcPr>
                <w:p w14:paraId="376B9769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指标                      </w:t>
                  </w:r>
                </w:p>
              </w:tc>
              <w:tc>
                <w:tcPr>
                  <w:tcW w:w="2549" w:type="dxa"/>
                </w:tcPr>
                <w:p w14:paraId="117E1A0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值         </w:t>
                  </w:r>
                </w:p>
              </w:tc>
            </w:tr>
            <w:tr w14:paraId="249575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548" w:type="dxa"/>
                </w:tcPr>
                <w:p w14:paraId="105F8C4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累计总活跃时间            </w:t>
                  </w:r>
                </w:p>
              </w:tc>
              <w:tc>
                <w:tcPr>
                  <w:tcW w:w="2549" w:type="dxa"/>
                </w:tcPr>
                <w:p w14:paraId="6F8330E9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246 us     </w:t>
                  </w:r>
                </w:p>
              </w:tc>
            </w:tr>
            <w:tr w14:paraId="5025797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c>
                <w:tcPr>
                  <w:tcW w:w="2548" w:type="dxa"/>
                </w:tcPr>
                <w:p w14:paraId="2561EEBE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累计总阻塞时间            </w:t>
                  </w:r>
                </w:p>
              </w:tc>
              <w:tc>
                <w:tcPr>
                  <w:tcW w:w="2549" w:type="dxa"/>
                </w:tcPr>
                <w:p w14:paraId="7F2A337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12038872 us</w:t>
                  </w:r>
                </w:p>
              </w:tc>
            </w:tr>
            <w:tr w14:paraId="333F56A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2548" w:type="dxa"/>
                </w:tcPr>
                <w:p w14:paraId="1E9CD315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累计总任务数              </w:t>
                  </w:r>
                </w:p>
              </w:tc>
              <w:tc>
                <w:tcPr>
                  <w:tcW w:w="2549" w:type="dxa"/>
                </w:tcPr>
                <w:p w14:paraId="757D303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9          </w:t>
                  </w:r>
                </w:p>
              </w:tc>
            </w:tr>
          </w:tbl>
          <w:p w14:paraId="03045F57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sz w:val="21"/>
              </w:rPr>
            </w:pP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线程池版本 vs Pipeline版本 对比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</w:p>
          <w:tbl>
            <w:tblPr>
              <w:tblStyle w:val="8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108" w:type="dxa"/>
                <w:right w:w="108" w:type="dxa"/>
              </w:tblCellMar>
            </w:tblPr>
            <w:tblGrid>
              <w:gridCol w:w="2786"/>
              <w:gridCol w:w="2786"/>
              <w:gridCol w:w="2786"/>
            </w:tblGrid>
            <w:tr w14:paraId="39BA0BD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2786" w:type="dxa"/>
                </w:tcPr>
                <w:p w14:paraId="7DD3B0E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对比维度         </w:t>
                  </w:r>
                </w:p>
              </w:tc>
              <w:tc>
                <w:tcPr>
                  <w:tcW w:w="2786" w:type="dxa"/>
                </w:tcPr>
                <w:p w14:paraId="42A1B6E8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线程池版本         </w:t>
                  </w:r>
                </w:p>
              </w:tc>
              <w:tc>
                <w:tcPr>
                  <w:tcW w:w="2786" w:type="dxa"/>
                </w:tcPr>
                <w:p w14:paraId="1C3E9108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Pipeline版本         </w:t>
                  </w:r>
                </w:p>
              </w:tc>
            </w:tr>
            <w:tr w14:paraId="6E7A98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742" w:hRule="atLeast"/>
              </w:trPr>
              <w:tc>
                <w:tcPr>
                  <w:tcW w:w="2786" w:type="dxa"/>
                </w:tcPr>
                <w:p w14:paraId="35E0B081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并发模型         </w:t>
                  </w:r>
                </w:p>
              </w:tc>
              <w:tc>
                <w:tcPr>
                  <w:tcW w:w="2786" w:type="dxa"/>
                </w:tcPr>
                <w:p w14:paraId="4CCE7C61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单一线程池(4线程)  </w:t>
                  </w:r>
                </w:p>
              </w:tc>
              <w:tc>
                <w:tcPr>
                  <w:tcW w:w="2786" w:type="dxa"/>
                </w:tcPr>
                <w:p w14:paraId="18B8B7A9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3个独立线程池(各4线程)</w:t>
                  </w:r>
                </w:p>
              </w:tc>
            </w:tr>
            <w:tr w14:paraId="6B6617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664" w:hRule="atLeast"/>
              </w:trPr>
              <w:tc>
                <w:tcPr>
                  <w:tcW w:w="2786" w:type="dxa"/>
                </w:tcPr>
                <w:p w14:paraId="4BEFF56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处理方式         </w:t>
                  </w:r>
                </w:p>
              </w:tc>
              <w:tc>
                <w:tcPr>
                  <w:tcW w:w="2786" w:type="dxa"/>
                </w:tcPr>
                <w:p w14:paraId="479FACE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每线程完整处理请求  </w:t>
                  </w:r>
                </w:p>
              </w:tc>
              <w:tc>
                <w:tcPr>
                  <w:tcW w:w="2786" w:type="dxa"/>
                </w:tcPr>
                <w:p w14:paraId="0FC9C3C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流水线分阶段处理      </w:t>
                  </w:r>
                </w:p>
              </w:tc>
            </w:tr>
            <w:tr w14:paraId="33DC77D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77" w:hRule="atLeast"/>
              </w:trPr>
              <w:tc>
                <w:tcPr>
                  <w:tcW w:w="2786" w:type="dxa"/>
                </w:tcPr>
                <w:p w14:paraId="21EECBBD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队列数量         </w:t>
                  </w:r>
                </w:p>
              </w:tc>
              <w:tc>
                <w:tcPr>
                  <w:tcW w:w="2786" w:type="dxa"/>
                </w:tcPr>
                <w:p w14:paraId="5FF1870A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1个(job queue)     </w:t>
                  </w:r>
                </w:p>
              </w:tc>
              <w:tc>
                <w:tcPr>
                  <w:tcW w:w="2786" w:type="dxa"/>
                </w:tcPr>
                <w:p w14:paraId="6F746F9D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2个(FQ + MQ)         </w:t>
                  </w:r>
                </w:p>
              </w:tc>
            </w:tr>
            <w:tr w14:paraId="542A3E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703" w:hRule="atLeast"/>
              </w:trPr>
              <w:tc>
                <w:tcPr>
                  <w:tcW w:w="2786" w:type="dxa"/>
                </w:tcPr>
                <w:p w14:paraId="34E03016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I/O隔离          </w:t>
                  </w:r>
                </w:p>
              </w:tc>
              <w:tc>
                <w:tcPr>
                  <w:tcW w:w="2786" w:type="dxa"/>
                </w:tcPr>
                <w:p w14:paraId="322CF15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无(混合网络+磁盘)  </w:t>
                  </w:r>
                </w:p>
              </w:tc>
              <w:tc>
                <w:tcPr>
                  <w:tcW w:w="2786" w:type="dxa"/>
                </w:tcPr>
                <w:p w14:paraId="3E93754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有(网络/磁盘/网络分离)</w:t>
                  </w:r>
                </w:p>
              </w:tc>
            </w:tr>
            <w:tr w14:paraId="07EBE6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703" w:hRule="atLeast"/>
              </w:trPr>
              <w:tc>
                <w:tcPr>
                  <w:tcW w:w="2786" w:type="dxa"/>
                </w:tcPr>
                <w:p w14:paraId="072F7F0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阶段独立扩展     </w:t>
                  </w:r>
                </w:p>
              </w:tc>
              <w:tc>
                <w:tcPr>
                  <w:tcW w:w="2786" w:type="dxa"/>
                </w:tcPr>
                <w:p w14:paraId="572BA0F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否                 </w:t>
                  </w:r>
                </w:p>
              </w:tc>
              <w:tc>
                <w:tcPr>
                  <w:tcW w:w="2786" w:type="dxa"/>
                </w:tcPr>
                <w:p w14:paraId="0FAF9883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是(可分别调线程数)    </w:t>
                  </w:r>
                </w:p>
              </w:tc>
            </w:tr>
            <w:tr w14:paraId="57B782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664" w:hRule="atLeast"/>
              </w:trPr>
              <w:tc>
                <w:tcPr>
                  <w:tcW w:w="2786" w:type="dxa"/>
                </w:tcPr>
                <w:p w14:paraId="5CCB6F0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背压机制         </w:t>
                  </w:r>
                </w:p>
              </w:tc>
              <w:tc>
                <w:tcPr>
                  <w:tcW w:w="2786" w:type="dxa"/>
                </w:tcPr>
                <w:p w14:paraId="16D1182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线程池内置队列     </w:t>
                  </w:r>
                </w:p>
              </w:tc>
              <w:tc>
                <w:tcPr>
                  <w:tcW w:w="2786" w:type="dxa"/>
                </w:tcPr>
                <w:p w14:paraId="24E984EB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有界缓冲队列削峰      </w:t>
                  </w:r>
                </w:p>
              </w:tc>
            </w:tr>
            <w:tr w14:paraId="1079C9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703" w:hRule="atLeast"/>
              </w:trPr>
              <w:tc>
                <w:tcPr>
                  <w:tcW w:w="2786" w:type="dxa"/>
                </w:tcPr>
                <w:p w14:paraId="10E689B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可监控性         </w:t>
                  </w:r>
                </w:p>
              </w:tc>
              <w:tc>
                <w:tcPr>
                  <w:tcW w:w="2786" w:type="dxa"/>
                </w:tcPr>
                <w:p w14:paraId="332042C7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基本               </w:t>
                  </w:r>
                </w:p>
              </w:tc>
              <w:tc>
                <w:tcPr>
                  <w:tcW w:w="2786" w:type="dxa"/>
                </w:tcPr>
                <w:p w14:paraId="50573641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详细(每阶段+每队列)   </w:t>
                  </w:r>
                </w:p>
              </w:tc>
            </w:tr>
            <w:tr w14:paraId="0BDA30F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573" w:hRule="atLeast"/>
              </w:trPr>
              <w:tc>
                <w:tcPr>
                  <w:tcW w:w="2786" w:type="dxa"/>
                </w:tcPr>
                <w:p w14:paraId="049CEEE5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实现复杂度       </w:t>
                  </w:r>
                </w:p>
              </w:tc>
              <w:tc>
                <w:tcPr>
                  <w:tcW w:w="2786" w:type="dxa"/>
                </w:tcPr>
                <w:p w14:paraId="42F409C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低                 </w:t>
                  </w:r>
                </w:p>
              </w:tc>
              <w:tc>
                <w:tcPr>
                  <w:tcW w:w="2786" w:type="dxa"/>
                </w:tcPr>
                <w:p w14:paraId="2BF2511C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中                    </w:t>
                  </w:r>
                </w:p>
              </w:tc>
            </w:tr>
            <w:tr w14:paraId="2ABAB44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730" w:hRule="atLeast"/>
              </w:trPr>
              <w:tc>
                <w:tcPr>
                  <w:tcW w:w="2786" w:type="dxa"/>
                </w:tcPr>
                <w:p w14:paraId="06BAE9D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Ctrl+C安全退出   </w:t>
                  </w:r>
                </w:p>
              </w:tc>
              <w:tc>
                <w:tcPr>
                  <w:tcW w:w="2786" w:type="dxa"/>
                </w:tcPr>
                <w:p w14:paraId="00AA9A88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支持               </w:t>
                  </w:r>
                </w:p>
              </w:tc>
              <w:tc>
                <w:tcPr>
                  <w:tcW w:w="2786" w:type="dxa"/>
                </w:tcPr>
                <w:p w14:paraId="4D3F25D0">
                  <w:pPr>
                    <w:numPr>
                      <w:ilvl w:val="0"/>
                      <w:numId w:val="0"/>
                    </w:numPr>
                    <w:snapToGrid w:val="0"/>
                    <w:spacing w:before="156" w:after="0"/>
                    <w:jc w:val="left"/>
                  </w:pPr>
                  <w:r>
                    <w:rPr>
                      <w:sz w:val="21"/>
                    </w:rPr>
                    <w:t xml:space="preserve"> 支持(1秒超时机制)     </w:t>
                  </w:r>
                </w:p>
              </w:tc>
            </w:tr>
          </w:tbl>
          <w:p w14:paraId="0985B4F8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rFonts w:ascii="宋体" w:hAnsi="宋体"/>
                <w:sz w:val="24"/>
              </w:rPr>
            </w:pP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6. 分析总结</w:t>
            </w:r>
            <w:r>
              <w:rPr>
                <w:sz w:val="21"/>
              </w:rPr>
              <w:br w:type="textWrapping"/>
            </w:r>
            <w:bookmarkStart w:id="0" w:name="_GoBack"/>
            <w:r>
              <w:rPr>
                <w:sz w:val="21"/>
              </w:rPr>
              <w:t>Pipeline版本将I/O操作按类型分离到不同线程池，Read Msg（网络读）平均活跃17us、Read File（磁盘读）平均活跃31us、Send Msg（网络写）平均活跃33us，各阶段实际处理时间均很短。阻塞时间占比极大（约99.998%），说明在低负载下线程主要处于等待队列的阻塞状态而非实际工作，这是流水线模型在低负载下的典型表现——队列大部分时间为空，消费者线程空等。Pipeline架构的核心价值在高并发场景下体现：当请求密集到达时，队列缓冲吸收突发流量，各阶段独立运行互不阻塞，且可针对瓶颈阶段（如磁盘I/O）单独扩容而不影响其他阶段。</w:t>
            </w:r>
            <w:bookmarkEnd w:id="0"/>
          </w:p>
          <w:p w14:paraId="4C4953B0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rFonts w:hint="eastAsia" w:ascii="宋体" w:hAnsi="宋体" w:eastAsia="宋体"/>
                <w:sz w:val="21"/>
                <w:lang w:eastAsia="zh-CN"/>
              </w:rPr>
            </w:pPr>
          </w:p>
          <w:p w14:paraId="0D4D1E5F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rFonts w:ascii="宋体" w:hAnsi="宋体" w:eastAsia="宋体"/>
                <w:sz w:val="21"/>
              </w:rPr>
            </w:pPr>
          </w:p>
          <w:p w14:paraId="6FB080D8">
            <w:pPr>
              <w:numPr>
                <w:ilvl w:val="0"/>
                <w:numId w:val="0"/>
              </w:numPr>
              <w:snapToGrid w:val="0"/>
              <w:spacing w:before="156" w:after="0"/>
              <w:jc w:val="left"/>
              <w:rPr>
                <w:rFonts w:ascii="宋体" w:hAnsi="宋体"/>
                <w:sz w:val="24"/>
              </w:rPr>
            </w:pPr>
          </w:p>
          <w:p w14:paraId="1088A774">
            <w:pPr>
              <w:spacing w:line="480" w:lineRule="auto"/>
              <w:rPr>
                <w:b/>
                <w:bCs/>
                <w:sz w:val="24"/>
              </w:rPr>
            </w:pPr>
          </w:p>
          <w:p w14:paraId="1D3C3D01"/>
          <w:p w14:paraId="720CC719"/>
          <w:p w14:paraId="260C4D55">
            <w:pPr>
              <w:spacing w:line="480" w:lineRule="auto"/>
              <w:rPr>
                <w:b/>
                <w:bCs/>
                <w:sz w:val="24"/>
              </w:rPr>
            </w:pPr>
          </w:p>
          <w:p w14:paraId="1B43640C"/>
          <w:p w14:paraId="145E8D2B"/>
        </w:tc>
      </w:tr>
    </w:tbl>
    <w:p w14:paraId="04CE109B">
      <w:pPr>
        <w:rPr>
          <w:b/>
          <w:bCs/>
        </w:rPr>
      </w:pPr>
    </w:p>
    <w:p w14:paraId="07B5FC71">
      <w:pPr>
        <w:rPr>
          <w:b/>
          <w:bCs/>
        </w:rPr>
      </w:pPr>
    </w:p>
    <w:p w14:paraId="5E00265C"/>
    <w:sectPr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Droid Sans Fallback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Droid Sans Fallbac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黑体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华文中宋">
    <w:altName w:val="Noto Serif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erif CJK SC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黑体">
    <w:altName w:val="Droid Sans Fallbac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8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autoHyphenation/>
  <w:hyphenationZone w:val="0"/>
  <w:footnotePr>
    <w:footnote w:id="0"/>
    <w:footnote w:id="1"/>
  </w:foot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FDF530F"/>
    <w:rsid w:val="BFD7C4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rFonts w:cs="Noto Sans CJK SC"/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"/>
    <w:basedOn w:val="3"/>
    <w:qFormat/>
    <w:uiPriority w:val="0"/>
    <w:rPr>
      <w:rFonts w:cs="Noto Sans CJK SC"/>
    </w:rPr>
  </w:style>
  <w:style w:type="table" w:styleId="8">
    <w:name w:val="Table Grid"/>
    <w:basedOn w:val="7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nhideWhenUsed/>
    <w:qFormat/>
    <w:uiPriority w:val="99"/>
    <w:rPr>
      <w:color w:val="0000FF"/>
      <w:u w:val="single"/>
    </w:rPr>
  </w:style>
  <w:style w:type="character" w:customStyle="1" w:styleId="11">
    <w:name w:val="apple-converted-space"/>
    <w:qFormat/>
    <w:uiPriority w:val="0"/>
  </w:style>
  <w:style w:type="character" w:customStyle="1" w:styleId="12">
    <w:name w:val="Unresolved Mention"/>
    <w:basedOn w:val="9"/>
    <w:semiHidden/>
    <w:unhideWhenUsed/>
    <w:qFormat/>
    <w:uiPriority w:val="99"/>
    <w:rPr>
      <w:color w:val="605E5C"/>
      <w:shd w:val="clear" w:fill="E1DFDD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5">
    <w:name w:val="标题样式"/>
    <w:basedOn w:val="1"/>
    <w:next w:val="3"/>
    <w:qFormat/>
    <w:uiPriority w:val="0"/>
    <w:pPr>
      <w:keepNext/>
      <w:spacing w:before="240" w:after="120"/>
    </w:pPr>
    <w:rPr>
      <w:rFonts w:ascii="Liberation Sans" w:hAnsi="Liberation Sans" w:eastAsia="Noto Sans CJK SC" w:cs="Noto Sans CJK SC"/>
      <w:sz w:val="28"/>
      <w:szCs w:val="28"/>
    </w:rPr>
  </w:style>
  <w:style w:type="paragraph" w:customStyle="1" w:styleId="16">
    <w:name w:val="索引"/>
    <w:basedOn w:val="1"/>
    <w:qFormat/>
    <w:uiPriority w:val="0"/>
    <w:pPr>
      <w:suppressLineNumbers/>
    </w:pPr>
    <w:rPr>
      <w:rFonts w:cs="Noto Sans CJK SC"/>
    </w:rPr>
  </w:style>
  <w:style w:type="paragraph" w:styleId="17">
    <w:name w:val="List Paragraph"/>
    <w:basedOn w:val="1"/>
    <w:qFormat/>
    <w:uiPriority w:val="34"/>
    <w:pPr>
      <w:ind w:firstLine="420"/>
    </w:pPr>
  </w:style>
  <w:style w:type="paragraph" w:customStyle="1" w:styleId="18">
    <w:name w:val="页眉与页脚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831</Words>
  <Characters>1315</Characters>
  <Paragraphs>31</Paragraphs>
  <TotalTime>35</TotalTime>
  <ScaleCrop>false</ScaleCrop>
  <LinksUpToDate>false</LinksUpToDate>
  <CharactersWithSpaces>1398</CharactersWithSpaces>
  <Application>WPS Office_12.1.2.26885_F1E327BC-269C-435d-A152-05C5408002CA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2025-04-16T18:24:00Z</dcterms:created>
  <dc:creator>qingui xu</dc:creator>
  <cp:lastModifiedBy>cho</cp:lastModifiedBy>
  <dcterms:modified xsi:type="dcterms:W3CDTF">2026-06-18T20:55:41Z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42A7D750C70EC91EC1D7336ABB35C38C_42</vt:lpwstr>
  </property>
</Properties>
</file>